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4e7c6a126894bf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23067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DR. FRANJE TUĐMANA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1.949.946,66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2.043.811,87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1.908.820,10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2.143.059,37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99.247,50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17.216,31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24.785,97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124.033,47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dr. Franje Tuđmana u 2025. godini ostvarila je ukupne prihode poslovanja i od nefinancijske imovine u iznosu 2.043.811,87 EUR, dok su ukupni rashodi i izdaci iznosili 2.167.845,34 EUR. Najveći udio prihoda i dalje čine pomoći iz nadležnog proračuna, a zabilježeni su i prihodi od EU projekata, donacija te prihodi od pruženih usluga. Rashodi su porasli ponajviše u segmentima plaća i materijalnih troškova, što je povezano s povećanim obujmom aktivnosti i investicija tijekom godine. Prema novom Pravilniku o proračunskom računovodstvu i Računskom planu, u 2025. se ne primjenjuje konto 193 – </w:t>
      </w:r>
      <w:r>
        <w:rPr>
          <w:i/>
        </w:rPr>
        <w:t xml:space="preserve">Rashodi budućih razdoblja</w:t>
      </w:r>
      <w:r>
        <w:t xml:space="preserve">. Kao posljedica navedenog, u izvještajnom razdoblju ostvaren je manjak prihoda i primitaka u odnosu na rashode i izdatke u iznosu 124.033,47 EUR.</w:t>
      </w:r>
    </w:p>
    <w:p>
      <w:r>
        <w:t xml:space="preserve">Na kraju izvještajnog razdoblja 2025. godine izvršeno je smanjenje vrijednosti neproizvedene dugotrajne imovine u ukupnom iznosu od 63.023,36 eura, što je evidentirano kroz obrazac P‑VRIO. Korekcija je provedena sukladno računovodstvenim standardima i pravilima financijskog izvještavanja, kako bi se osigurala točnost i realnost iskazanog stanja imovine.</w:t>
      </w:r>
    </w:p>
    <w:p>
      <w:r>
        <w:t xml:space="preserve">Tijekom 2025. godine škola je provodila niz aktivnosti usmjerenih na unaprjeđenje obrazovnog procesa i materijalnih uvjeta rada. Ostvarena su ulaganja u novu uredsku i računalnu opremu, nabava knjiga i nastavnog materijala, te dodatna ulaganja na građevinskom objektu i postrojenjima ustanove. Ukupna ulaganja u dugotrajnu imovinu iznosila su 24.785,97 eura.</w:t>
      </w:r>
    </w:p>
    <w:p>
      <w:r>
        <w:t xml:space="preserve">Škola je nastavila uspješno provoditi međunarodne projekte kroz Erasmus+ programe. U okviru tih projekata ostvaren je dodatni priljev sredstava iz Europske unije te je iskazan povećani iznos nenaplaćenih potraživanja temeljem EU pomoći u iznosu od 12.828,70 eura na kraju godine. Sudjelovanje u međunarodnim aktivnostima omogućilo je daljnje profesionalno usavršavanje nastavnika, razmjenu iskustava te primjenu inovativnih obrazovnih metoda.</w:t>
      </w:r>
    </w:p>
    <w:p>
      <w:r>
        <w:t xml:space="preserve">Obveze škole povećane su na 167.829,87 eura, pri čemu su sve dospjele obveze uredno podmirene do kraja razdoblja. Škola iskazuje manjak prihoda i primitaka za 2025. godinu u iznosu od 125.710,14 eura.</w:t>
      </w:r>
    </w:p>
    <w:p>
      <w:r>
        <w:t xml:space="preserve">Ukupna imovina škole na dan 31. prosinca 2025. iznosi 2.314.454,15 eura, a vlastiti izvori 2.146.624,28 eura, uz umjereno povećanje financijske imovine. Ovi pokazatelji ukazuju na racionalno upravljanje financijama i održiv rast.</w:t>
      </w:r>
    </w:p>
    <w:p>
      <w:r>
        <w:t xml:space="preserve">Škola je u 2025. godini nastavila provoditi važne investicije, osigurala nastavak međunarodnih projekata i unaprijedila materijalne i organizacijske uvjete rada. Unatoč povećanju rashoda, poslovanje je ostalo stabilno, a aktivnosti škole doprinose dugoročnom poboljšanju kvalitete obrazovanja i sigurnosti učenika i zaposlenika.</w:t>
      </w:r>
    </w:p>
    <w:p>
      <w:r>
        <w:t xml:space="preserve">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 od međunarodnih institucija se odnosi na uplate partnerske škole iz Italije – 3P (Padre Pino Puglisi), a zaprimljene su za potrebe mobilnosti u okviru Erasmus+ projekta “WWW”.</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1.521.099,34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1.634.233,18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Tijekom izvještajnog razdoblja ostvareni su prihodi od pomoći proračunskih korisnika iz proračuna koji im nije nadležan, u ukupnom iznosu od 1.634.233,18 eura.</w:t>
      </w:r>
    </w:p>
    <w:p>
      <w:r>
        <w:t xml:space="preserve">Najveći dio ovih prihoda odnosi se na sredstva namijenjena za isplatu plaća i materijalnih prava zaposlenika, dok se manji dio odnosi na različite oblike pomoći za realizaciju projekata i unapređenje uvjeta rada škole.</w:t>
      </w:r>
    </w:p>
    <w:p>
      <w:r>
        <w:t xml:space="preserve">Od spomenutih projekata izdvajamo suradnja s KEK – Kolektivom za edukaciju, kulturu i nove tehnologije iz Zagreba, zahvaljujući kojoj je škola imala priliku ugostiti jedinstveno VR kino, te je i financijsku podršku ovom projektu osigurao je Grad Knin, čime je još jednom potvrđena važnost ulaganja u obrazovanje. </w:t>
      </w:r>
    </w:p>
    <w:p>
      <w:r>
        <w:t xml:space="preserve">Također, tijekom godine realiziran je projekt opremanja školskog kutka, koji je sufinancirala Općina Biskupija, čime su dodatno unaprijeđeni prostorni uvjeti boravka učenika u školi. </w:t>
      </w:r>
    </w:p>
    <w:p>
      <w:r>
        <w:t xml:space="preserve">Tijekom izvještajne godine evidentirane su i uplate namijenjene redovitom radu i programima škole. Riječ je o uplatama za prijevoz djece s teškoćama, uplatama za PDS, uplatama za nacionalnu prehranu, sufinanciranju nabave nastavnog i didaktičkog materijala, te aktivnostima u sklopu projekta „STEM avantura za prvašiće“ u suradnji s Edukido Knin.</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78.152,40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w:t>
            </w:r>
          </w:p>
        </w:tc>
      </w:tr>
    </w:tbl>
    <w:p>
      <w:pPr>
        <w:spacing w:before="0" w:after="0"/>
      </w:pPr>
    </w:p>
    <w:p>
      <w:r>
        <w:t xml:space="preserve">Tijekom izvještajnog razdoblja ostvareni su prihodi od tekućih pomoći temeljem prijenosa sredstava Europske unije, koji se odnose na projekte započete u prethodnoj godini, a čija se realizacija nastavila tijekom 2025. godine.</w:t>
      </w:r>
    </w:p>
    <w:p>
      <w:r>
        <w:t xml:space="preserve">Uplaćena su sredstva Agencije za mobilnost i programe Europske unije (AMPEU) po završetku Erasmus projekta „Education through green glasses“, čime je uspješno zaključen projektni ciklus i provedene završne aktivnosti. Također su evidentirane uplate Osnovne škole Bogoslav Šulek, partnera u projektu „Inkluzivna učionica budućnosti“. </w:t>
      </w:r>
    </w:p>
    <w:p>
      <w:r>
        <w:t xml:space="preserve">Ostvarena sredstva namijenjena su provedbi preostalih aktivnosti i završetku projektnih obveza započetih u prethodnoj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391,0</w:t>
            </w:r>
          </w:p>
        </w:tc>
      </w:tr>
    </w:tbl>
    <w:p>
      <w:pPr>
        <w:spacing w:before="0" w:after="0"/>
      </w:pPr>
    </w:p>
    <w:p>
      <w:r>
        <w:t xml:space="preserve">Tijekom tekuće godine evidentirano je značajno povećanje prihoda  u odnosu na prethodno razdoblje, a najveći dio ostvarenih prihoda proizlazi iz uplate osiguranja po osnovi naknade štete nastale na zgradi. Ova jednokratna uplata osigurana je temeljem police osiguranja te nije rezultat redovnih aktivnosti, već izvanrednog događaja koji je uzrokovao materijalnu štetu na objektu u vlasništvu ustanove.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w:t>
            </w:r>
          </w:p>
        </w:tc>
      </w:tr>
    </w:tbl>
    <w:p>
      <w:pPr>
        <w:spacing w:before="0" w:after="0"/>
      </w:pPr>
    </w:p>
    <w:p>
      <w:r>
        <w:t xml:space="preserve">U razdoblju izvještavanja ostvareni su prihodi od iznajmljivanja školskih prostora i igrališta, kao i prihodi od donacija sportske i računalne opreme koje su osigurale Udruga „Sinovi Oluje“ i Umjetnička organizacija „Naturšćik“.  </w:t>
      </w:r>
    </w:p>
    <w:p>
      <w:r>
        <w:t xml:space="preserve">Ističemo donaciju ostvarenu tijekom 11. manifestacije Oluja kup 2025., zahvaljujući kojoj je škola obogaćena sportskom i informatičkom opremom. Ova vrijedna donacija omogućit će unapređenje svakodnevnog rada škole, kvalitetnije uvjete za učenje i razvoj učenika te potaknuti njihov interes za sportske i digitalne aktivnosti.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1.436.305,20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1.752.087,61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r>
        <w:t xml:space="preserve">Rashodi za zaposlene obuhvaćaju bruto plaće, naknade i druga materijalna prava zaposlenika i pomoćnika u nastavi, u skladu s kolektivnim ugovorima i posebnim propisima. U izvještajnom razdoblju zabilježen je rast rashoda u odnosu na prethodnu godinu, ponajprije zbog povećanja osnovice plaće i isplate određenih materijalnih prava. U rashode je uključen i obračun plaće za mjesec prosinac, čija će isplata biti izvršena u siječnju 2026.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181,7</w:t>
            </w:r>
          </w:p>
        </w:tc>
      </w:tr>
    </w:tbl>
    <w:p>
      <w:pPr>
        <w:spacing w:before="0" w:after="0"/>
      </w:pPr>
    </w:p>
    <w:p>
      <w:r>
        <w:t xml:space="preserve">Povećanje u odnosu na prethodnu godinu rezultat je troškova za stručne usluge vezane uz izradu procjene postojećeg stanja i analize rizika za školske ustanove i izradu plana sigurnosti školske ustanove, a koje su bile nužne radi usklađivanja s propisima i jačanja sigurnosnih standarda u radu ustanove.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Rashodi za pristojbe i naknade manji su u odnosu na prethodnu godinu jer je ustanova ispunila obvezu kvotnog zapošljavanja, te nije obveznik uplate novčane naknade za nezapošljavanje osoba s invaliditetom.</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Ostali rashodi poslovanja odnose se na troškove nastale tijekom provedbe Erasmus+ projekata, a uključuju isplate individualne i organizacijske potpore sudionicima mobilnosti, pri čemu je povećanje u odnosu na prethodnu godinu rezultat intenzivnijeg provođenja projektnih aktivnosti, te troškove vezane uz obvezu sređivanja pismohrane i dokumentarnog gradiva.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w:t>
            </w:r>
          </w:p>
        </w:tc>
      </w:tr>
    </w:tbl>
    <w:p>
      <w:pPr>
        <w:spacing w:before="0" w:after="0"/>
      </w:pPr>
    </w:p>
    <w:p>
      <w:r>
        <w:t xml:space="preserve">Glavni razlog ovog povećanja je trošak izrade novog digitalnog certifikata (COP) i opoziv starog certifikata, što je bilo nužno zbog promjene ravnatelja ustanove.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w:t>
            </w:r>
          </w:p>
        </w:tc>
      </w:tr>
    </w:tbl>
    <w:p>
      <w:pPr>
        <w:spacing w:before="0" w:after="0"/>
      </w:pPr>
    </w:p>
    <w:p>
      <w:r>
        <w:t xml:space="preserve">Tijekom 2025. godine povećanje rashoda za nabavu proizvedene dugotrajne imovine rezultat je nabave klima uređaja, prijenosnih računala za nastavnike te udžbenika i lektire za potrebe nastave i školske knjižnice. Ulaganja su provedena radi poboljšanja radnih uvjeta i jačanja knjižničnog fonda.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w:t>
            </w:r>
          </w:p>
        </w:tc>
      </w:tr>
    </w:tbl>
    <w:p>
      <w:pPr>
        <w:spacing w:before="0" w:after="0"/>
      </w:pPr>
    </w:p>
    <w:p>
      <w:r>
        <w:t xml:space="preserve">Sukladno uputama za računovodstveno evidentiranje sredstava iz EU fondova, izvršena je korekcija prenesenog rezultata te prijenos iznosa na obveze za primljeni predujam.</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125.710,14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evidentiran je ukupan manjak prihoda i primitaka u odnosu na rashode i izdatke. U odnosu na isto razdoblje prethodne godine, manjak je značajno porastao, a na rezultat poslovanja utjecala su i računovodstvena pravila prema kojima se rashodi priznaju u razdoblju njihova nastanka, neovisno o datumu isplate, dok se prihodi priznaju po načelu naplate.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185.138,28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570,5</w:t>
            </w:r>
          </w:p>
        </w:tc>
      </w:tr>
    </w:tbl>
    <w:p>
      <w:pPr>
        <w:spacing w:before="0" w:after="0"/>
      </w:pPr>
    </w:p>
    <w:p>
      <w:r>
        <w:t xml:space="preserve">Potraživanja za prihode poslovanja iskazan je iznos koji odražava nenaplaćene prihode iz redovitoga poslovanja do kraja godine. Ova su potraživanja rezultat već nastalih, ali do dana sastavljanja izvještaja još nenaplaćenih prihoda, pri čemu se po novom pravilniku vodi isključivo stanje potraživanja, bez priznavanja prihoda po nastanku ako naplata nije izvršena.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131.519,56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Pravilniku o proračunskom računovodstvu i Računskom planu, članak 233, propisano je da se s danom 1. siječnja 2025. ukida podskupina 193 </w:t>
      </w:r>
      <w:r>
        <w:rPr>
          <w:i/>
        </w:rPr>
        <w:t xml:space="preserve">Kontinuirani rashodi budućih razdoblja</w:t>
      </w:r>
      <w:r>
        <w:t xml:space="preserv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146.411,05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evidentirani su prihodi koji su obračunati na temelju nastalih obveza prema školi, ali nisu naplaćeni do kraja izvještajnog razdoblja. Ovi obračunati prihodi se priznaju kao prihod tek u trenutku naplate, sukladno novom modelu naplate kao kriteriju priznavanja prihoda.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442,2</w:t>
            </w:r>
          </w:p>
        </w:tc>
      </w:tr>
    </w:tbl>
    <w:p>
      <w:pPr>
        <w:spacing w:before="0" w:after="0"/>
      </w:pPr>
    </w:p>
    <w:p>
      <w:r>
        <w:t xml:space="preserve">Sukladno Uputi za računovodstveno evidentiranje sredstava Europske unije u okviru izvanbilančnih zapisa evidentirani su preostali iznosi ugovora Erasmus+ projekata za koji nisu nastali rashodi u 2024. i ranijih godina.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442,2</w:t>
            </w:r>
          </w:p>
        </w:tc>
      </w:tr>
    </w:tbl>
    <w:p>
      <w:pPr>
        <w:spacing w:before="0" w:after="0"/>
      </w:pPr>
    </w:p>
    <w:p>
      <w:r>
        <w:t xml:space="preserve">Sukladno Uputi za računovodstveno evidentiranje sredstava Europske unije u okviru izvanbilančnih zapisa evidentirani su preostali iznosi ugovora Erasmus+ projekata za koji nisu nastali rashodi u 2024. i ranijih godina.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1.926.036,41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2.167.845,34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Rashodi prema funkcijskoj klasifikaciji iznose 2.167.845,34 eura, što predstavlja povećanje u odnosu na prethodnu godinu. Povećanje rashoda rezultat je potreba redovitog funkcioniranja škole te usklađivanja s planiranim financijskim obvezama tijekom školske godine.</w:t>
      </w:r>
    </w:p>
    <w:p>
      <w:r>
        <w:t xml:space="preserv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195.329,31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w:t>
            </w:r>
          </w:p>
        </w:tc>
      </w:tr>
    </w:tbl>
    <w:p>
      <w:pPr>
        <w:spacing w:before="0" w:after="0"/>
      </w:pPr>
    </w:p>
    <w:p>
      <w:r>
        <w:t xml:space="preserve">Smanjenje dodatnih usluga koje se odnose na prijevoz učenika proizlazi iz niže cijene prijevoza u školskoj godini 2025/26.</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63.023,36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Pravilniku o proračunskom računovodstvu i računskom planu, izvršen je ispravak vrijednosti dugotrajne nefinacijske imovine, te je evidentirano smanjenje vrijednosti imovine u iznosu 63.023,36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stanje dospjelih obveza iznosi 0,00 EUR.</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167.829,87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167.829,87 EUR, a odnosi se ponajprije na troškove zaposlenika (plaće i doprinosi), materijalne rashode, obveze povezane s refundacijama HZZO-a za bolovanja dulja od 42 dana, te obveze za predujmove zbog Erasmus projekata koji su u tijeku realizacije.</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U 2025. godini uspješno smo provodili Erasmus+ aktivnosti usmjerene na mobilnosti i stručno usavršavanje nastavnika, što se vidi iz strukture rashoda (službena putovanja i edukacije). </w:t>
      </w:r>
    </w:p>
    <w:p>
      <w:r>
        <w:t xml:space="preserve">Ukupno je ostvareno 21.527,38 EUR prihoda iz EU izvora, dok su rashodi iznosili 24.997,95 EUR, ponajviše za putne troškove i profesionalni razvoj zaposlenika.</w:t>
      </w:r>
    </w:p>
    <w:p>
      <w:r>
        <w:t xml:space="preserve">Na dan 31.12. evidentirano je 12.828,70 EUR potraživanja prema državnom proračunu, te 15.794,44 EUR predujma koji se zatvara dostavom kompletne dokumentacije o troškovima; ugovoreni iznos bespovratnih sredstava iznosi 27.794,44 EUR.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ab178dec0944e0d" /></Relationships>
</file>